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9A" w:rsidRDefault="00A76BB7" w:rsidP="00C2129A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92042" cy="942586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 UILPA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5" r="-1"/>
                    <a:stretch/>
                  </pic:blipFill>
                  <pic:spPr bwMode="auto">
                    <a:xfrm>
                      <a:off x="0" y="0"/>
                      <a:ext cx="6090450" cy="94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1A09" w:rsidRDefault="004B1A09" w:rsidP="00C2129A">
      <w:pPr>
        <w:jc w:val="center"/>
      </w:pPr>
    </w:p>
    <w:p w:rsidR="004B1A09" w:rsidRDefault="004B1A09" w:rsidP="004B1A0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UNIFICAZIONE ARCHIVI PRA E MIT</w:t>
      </w:r>
    </w:p>
    <w:p w:rsidR="004B1A09" w:rsidRPr="00246B7E" w:rsidRDefault="004B1A09" w:rsidP="004B1A09">
      <w:pPr>
        <w:jc w:val="center"/>
        <w:rPr>
          <w:b/>
          <w:sz w:val="32"/>
          <w:szCs w:val="32"/>
          <w:u w:val="single"/>
        </w:rPr>
      </w:pPr>
      <w:r w:rsidRPr="00246B7E">
        <w:rPr>
          <w:b/>
          <w:sz w:val="32"/>
          <w:szCs w:val="32"/>
          <w:u w:val="single"/>
        </w:rPr>
        <w:t>LA UILPA CHIEDE TUTELE PER GLI AUTOMOBILISTI E I LAVORATORI.</w:t>
      </w:r>
    </w:p>
    <w:p w:rsidR="004B1A09" w:rsidRDefault="004B1A09" w:rsidP="004B1A09">
      <w:pPr>
        <w:jc w:val="center"/>
        <w:rPr>
          <w:b/>
          <w:sz w:val="28"/>
          <w:szCs w:val="28"/>
          <w:u w:val="single"/>
        </w:rPr>
      </w:pPr>
      <w:r w:rsidRPr="00246B7E">
        <w:rPr>
          <w:b/>
          <w:sz w:val="28"/>
          <w:szCs w:val="28"/>
          <w:u w:val="single"/>
        </w:rPr>
        <w:t>SOLUZIONI NUOVE PER UN FUTURO SICURO.</w:t>
      </w:r>
    </w:p>
    <w:p w:rsidR="004B1A09" w:rsidRPr="00246B7E" w:rsidRDefault="004B1A09" w:rsidP="004B1A09">
      <w:pPr>
        <w:jc w:val="center"/>
        <w:rPr>
          <w:b/>
          <w:sz w:val="28"/>
          <w:szCs w:val="28"/>
          <w:u w:val="single"/>
        </w:rPr>
      </w:pPr>
    </w:p>
    <w:p w:rsidR="004B1A09" w:rsidRDefault="004B1A09" w:rsidP="004B1A09">
      <w:pPr>
        <w:jc w:val="both"/>
      </w:pPr>
      <w:r>
        <w:t xml:space="preserve">Si è svolto oggi l’incontro con il </w:t>
      </w:r>
      <w:r w:rsidR="00F124D8">
        <w:t>V</w:t>
      </w:r>
      <w:r>
        <w:t xml:space="preserve">ice-Ministro alle Infrastrutture e ai Trasporti – Riccardo Nencini – per avviare il confronto in ordine alla applicazione dell’art.1 comma  427 della Legge di  Stabilità 2014. </w:t>
      </w:r>
    </w:p>
    <w:p w:rsidR="004B1A09" w:rsidRDefault="004B1A09" w:rsidP="004B1A09">
      <w:pPr>
        <w:jc w:val="both"/>
      </w:pPr>
      <w:r>
        <w:t>Tale norma, come noto, dispone che il Ministero delle Infrastrutture e dei Trasporti adotti</w:t>
      </w:r>
      <w:r w:rsidR="00FA4DB2">
        <w:t>, in tempi rapidi,</w:t>
      </w:r>
      <w:r>
        <w:t xml:space="preserve"> misure volte all’unificazione degli archivi (PRA e MIT) che rispondano a criteri di razionalizzazione delle strutture e di risparmio di  spesa per lo Stato e per gli utenti.</w:t>
      </w:r>
    </w:p>
    <w:p w:rsidR="004B1A09" w:rsidRDefault="004B1A09" w:rsidP="004B1A09">
      <w:pPr>
        <w:jc w:val="both"/>
      </w:pPr>
      <w:r>
        <w:t>L’incontro è stato aperto dal Vice-Ministro che</w:t>
      </w:r>
      <w:r w:rsidR="000438EF">
        <w:t>,</w:t>
      </w:r>
      <w:r>
        <w:t xml:space="preserve"> ribadendo le sue dichiarazioni</w:t>
      </w:r>
      <w:r w:rsidR="00FA4DB2">
        <w:t xml:space="preserve"> rilasciate </w:t>
      </w:r>
      <w:r>
        <w:t xml:space="preserve">agli organi di stampa, ha riaffermato la </w:t>
      </w:r>
      <w:r w:rsidR="00FA4DB2">
        <w:t xml:space="preserve">decisa </w:t>
      </w:r>
      <w:r>
        <w:t>volontà del Ministero di pervenire alla unificazione degli archivi, e alla semplificazione delle procedure con l’emissione di un unico documento del veicolo, assicurando</w:t>
      </w:r>
      <w:r w:rsidR="00F124D8">
        <w:t xml:space="preserve"> che</w:t>
      </w:r>
      <w:r>
        <w:t xml:space="preserve"> </w:t>
      </w:r>
      <w:r w:rsidR="00FA4DB2">
        <w:t xml:space="preserve">i servizi di cui trattasi </w:t>
      </w:r>
      <w:r>
        <w:t>vengano erogati da un soggetto integralmente pubblico.</w:t>
      </w:r>
    </w:p>
    <w:p w:rsidR="00FA4DB2" w:rsidRDefault="004B1A09" w:rsidP="004B1A09">
      <w:pPr>
        <w:jc w:val="both"/>
      </w:pPr>
      <w:r>
        <w:t xml:space="preserve">E’ di tutta evidenza, ha continuato Nencini, che se il legislatore avesse inteso trasferire le competenze </w:t>
      </w:r>
      <w:r w:rsidR="00FA4DB2">
        <w:t xml:space="preserve">in questione </w:t>
      </w:r>
      <w:r>
        <w:t>in capo a chi oggi le svolge, l’ACI,</w:t>
      </w:r>
      <w:bookmarkStart w:id="0" w:name="_GoBack"/>
      <w:bookmarkEnd w:id="0"/>
      <w:r>
        <w:t xml:space="preserve"> lo avrebbe esplicitato nella legge. </w:t>
      </w:r>
    </w:p>
    <w:p w:rsidR="00FA4DB2" w:rsidRDefault="004B1A09" w:rsidP="004B1A09">
      <w:pPr>
        <w:jc w:val="both"/>
      </w:pPr>
      <w:r>
        <w:t>Così non essendo è chiaro</w:t>
      </w:r>
      <w:r w:rsidR="00FA4DB2">
        <w:t xml:space="preserve"> che rincorse, </w:t>
      </w:r>
      <w:r>
        <w:t>balletti</w:t>
      </w:r>
      <w:r w:rsidR="00FA4DB2">
        <w:t xml:space="preserve"> o tentativi di dilazionare l’attuazione della norma anche attraverso originali e innaturali interpretazioni della</w:t>
      </w:r>
      <w:r w:rsidR="00F124D8">
        <w:t xml:space="preserve"> norma</w:t>
      </w:r>
      <w:r w:rsidR="00FA4DB2">
        <w:t xml:space="preserve"> stessa, comportino il rischio di produrre il mantenimento dello statu quo anche con </w:t>
      </w:r>
      <w:r>
        <w:t xml:space="preserve">il </w:t>
      </w:r>
      <w:r w:rsidR="00FA4DB2">
        <w:t>permanere della situazione di</w:t>
      </w:r>
      <w:r>
        <w:t xml:space="preserve"> instabilità. </w:t>
      </w:r>
    </w:p>
    <w:p w:rsidR="004B1A09" w:rsidRPr="0075611A" w:rsidRDefault="00FA4DB2" w:rsidP="004B1A09">
      <w:pPr>
        <w:jc w:val="both"/>
      </w:pPr>
      <w:r>
        <w:t>Il</w:t>
      </w:r>
      <w:r w:rsidR="004B1A09">
        <w:t xml:space="preserve"> Vice Ministro</w:t>
      </w:r>
      <w:r>
        <w:t>,</w:t>
      </w:r>
      <w:r w:rsidR="004B1A09">
        <w:t xml:space="preserve"> sottolineando che l’interpretazione della norma da parte di ACI è “</w:t>
      </w:r>
      <w:r>
        <w:rPr>
          <w:i/>
        </w:rPr>
        <w:t>innaturale….</w:t>
      </w:r>
      <w:r w:rsidR="004B1A09">
        <w:rPr>
          <w:i/>
        </w:rPr>
        <w:t xml:space="preserve">  che è una forbice che non può chiudersi”,</w:t>
      </w:r>
      <w:r w:rsidR="004B1A09">
        <w:t xml:space="preserve"> ha ribadito che se il Vertice </w:t>
      </w:r>
      <w:r w:rsidR="00F124D8">
        <w:t xml:space="preserve">dell’Ente </w:t>
      </w:r>
      <w:r w:rsidR="004B1A09">
        <w:t>continuerà ad arroccarsi nella propria posizione, il Ministero sarà obbligato a muoversi autonomamente.</w:t>
      </w:r>
      <w:r w:rsidR="00125CF2">
        <w:t xml:space="preserve"> Infatti, il progetto avanzato</w:t>
      </w:r>
      <w:r w:rsidR="004B1A09">
        <w:t xml:space="preserve"> dall’</w:t>
      </w:r>
      <w:r w:rsidR="00125CF2">
        <w:t>Aci si muove</w:t>
      </w:r>
      <w:r w:rsidR="004B1A09">
        <w:t xml:space="preserve"> in netto contrasto con la previsione di Legge, in quanto non solo, sostanzialmente, mantiene i due archivi esistenti, ma, addirittura, potrebbe pre</w:t>
      </w:r>
      <w:r w:rsidR="00125CF2">
        <w:t>vedere la creazione di un ulteriore, terzo soggetto che appesantirebbe ulteriormente un settore che si vuole, invece, snellire.</w:t>
      </w:r>
    </w:p>
    <w:p w:rsidR="004B1A09" w:rsidRDefault="004B1A09" w:rsidP="004B1A09">
      <w:pPr>
        <w:jc w:val="both"/>
      </w:pPr>
      <w:r>
        <w:t xml:space="preserve">In tale quadro, </w:t>
      </w:r>
      <w:r w:rsidR="00125CF2">
        <w:t>l</w:t>
      </w:r>
      <w:r>
        <w:t xml:space="preserve">a UILPA, </w:t>
      </w:r>
      <w:r w:rsidR="00125CF2">
        <w:t>ricordati i tanti progetti di interventi normativi avanzati dalla parte politica e ripetutamente succedutisi nel tempo, volti a pervenire alla</w:t>
      </w:r>
      <w:r>
        <w:t xml:space="preserve"> razionalizzazione del settore, con estrema serenità e pragmaticità, responsabilmente e sempre nell’ottica di tutelare gli utenti dei servizi, il personale e le professionalità acquisite, ha ritenuto di sottoporre al Vice Ministro una</w:t>
      </w:r>
      <w:r w:rsidR="00F124D8">
        <w:t xml:space="preserve"> propria</w:t>
      </w:r>
      <w:r>
        <w:t xml:space="preserve"> proposta finalizzata a definire, riorganizzare e assicurare stabilità, una volta per tutte, in maniera trasparente,  all’intero settore di riferimento.</w:t>
      </w:r>
    </w:p>
    <w:p w:rsidR="004B1A09" w:rsidRDefault="00125CF2" w:rsidP="004B1A09">
      <w:pPr>
        <w:jc w:val="both"/>
      </w:pPr>
      <w:r>
        <w:lastRenderedPageBreak/>
        <w:t>Tale</w:t>
      </w:r>
      <w:r w:rsidR="004B1A09">
        <w:t xml:space="preserve"> proposta</w:t>
      </w:r>
      <w:r>
        <w:t>,</w:t>
      </w:r>
      <w:r w:rsidR="004B1A09">
        <w:t xml:space="preserve"> oltre a semplificare le procedure senza far venir meno le attuali garanzie che il principi</w:t>
      </w:r>
      <w:r w:rsidR="00F124D8">
        <w:t>o della pubblicità dichiarativa</w:t>
      </w:r>
      <w:r w:rsidR="000438EF">
        <w:t xml:space="preserve"> assicura</w:t>
      </w:r>
      <w:r w:rsidR="00F124D8">
        <w:t xml:space="preserve">, e </w:t>
      </w:r>
      <w:r w:rsidR="004B1A09">
        <w:t xml:space="preserve">senza sprechi di denaro pubblico, prevede </w:t>
      </w:r>
      <w:r w:rsidR="004B1A09" w:rsidRPr="00FC5B2D">
        <w:t>la costituzione ex novo di un soggetto pubblico, dotato di autonomia di bilancio con strutture decentrate sull’intero territorio</w:t>
      </w:r>
      <w:r w:rsidR="004B1A09">
        <w:t xml:space="preserve"> nazionale</w:t>
      </w:r>
      <w:r w:rsidR="004B1A09" w:rsidRPr="00FC5B2D">
        <w:t xml:space="preserve">, che si occupi in toto della mobilità e </w:t>
      </w:r>
      <w:r w:rsidR="004B1A09">
        <w:t xml:space="preserve">che </w:t>
      </w:r>
      <w:r w:rsidR="004B1A09" w:rsidRPr="00FC5B2D">
        <w:t>funga da interlocutore unico con le altre pubbliche amministrazioni.</w:t>
      </w:r>
    </w:p>
    <w:p w:rsidR="004B1A09" w:rsidRDefault="004B1A09" w:rsidP="004B1A09">
      <w:pPr>
        <w:jc w:val="both"/>
      </w:pPr>
      <w:r w:rsidRPr="00FC5B2D">
        <w:t>Le riso</w:t>
      </w:r>
      <w:r>
        <w:t>rse umane impiegate nel nuovo soggetto pubblico, che verrebbero trasferite sia</w:t>
      </w:r>
      <w:r w:rsidR="00F124D8">
        <w:t xml:space="preserve"> dall’Aci che dal Dipartimento Trasporti T</w:t>
      </w:r>
      <w:r>
        <w:t>errestri</w:t>
      </w:r>
      <w:r w:rsidR="00F124D8">
        <w:t xml:space="preserve"> del MIT</w:t>
      </w:r>
      <w:r>
        <w:t>,</w:t>
      </w:r>
      <w:r w:rsidRPr="00FC5B2D">
        <w:t xml:space="preserve"> svilupperebbero le proprie competenze nell’intero settore e non esclusivamente nella gestione dell’archivio telematico nazionale dei veicoli.</w:t>
      </w:r>
    </w:p>
    <w:p w:rsidR="004B1A09" w:rsidRDefault="004B1A09" w:rsidP="004B1A09">
      <w:pPr>
        <w:jc w:val="both"/>
      </w:pPr>
      <w:r>
        <w:t>Vale ricordare che analoghi provvedimenti sono già stati, nel tempo</w:t>
      </w:r>
      <w:r w:rsidR="00C548C5">
        <w:t>,</w:t>
      </w:r>
      <w:r>
        <w:t xml:space="preserve"> assunti rispetto ai settori del trasporto aereo e ferroviario.</w:t>
      </w:r>
    </w:p>
    <w:p w:rsidR="004B1A09" w:rsidRPr="00FC5B2D" w:rsidRDefault="004B1A09" w:rsidP="004B1A09">
      <w:pPr>
        <w:jc w:val="both"/>
      </w:pPr>
      <w:r>
        <w:t>La nostra è una  proposta che attua una forte innovazione nel sistema oggi esistente,  risponde agli interessi dei cittadini, offre un servizio migliore e, allo stesso tempo, finalmente</w:t>
      </w:r>
      <w:r w:rsidR="00F124D8">
        <w:t>,</w:t>
      </w:r>
      <w:r>
        <w:t xml:space="preserve"> restituisce certezze al futuro occupazionale dei dipendenti dell’ACI sui quali ricadono ormai</w:t>
      </w:r>
      <w:r w:rsidR="00C548C5">
        <w:t>,</w:t>
      </w:r>
      <w:r>
        <w:t xml:space="preserve"> in maniera costante e sistematica</w:t>
      </w:r>
      <w:r w:rsidR="00C548C5">
        <w:t>,</w:t>
      </w:r>
      <w:r>
        <w:t xml:space="preserve"> le conseguenze negative dovute al permanere di un quadro complessivo confuso, contrad</w:t>
      </w:r>
      <w:r w:rsidR="00F124D8">
        <w:t>d</w:t>
      </w:r>
      <w:r>
        <w:t>ittorio e non esclusivamente orientato alla tutela dell’utenza.</w:t>
      </w:r>
    </w:p>
    <w:p w:rsidR="004B1A09" w:rsidRDefault="004B1A09" w:rsidP="004B1A09">
      <w:pPr>
        <w:jc w:val="both"/>
      </w:pPr>
      <w:r>
        <w:t>Abbiamo ribadito, pertanto, che a nostro avviso</w:t>
      </w:r>
      <w:r w:rsidR="00F124D8">
        <w:t>,</w:t>
      </w:r>
      <w:r>
        <w:t xml:space="preserve"> solo la creazione </w:t>
      </w:r>
      <w:r w:rsidRPr="00FC5B2D">
        <w:t xml:space="preserve"> di un nuovo soggetto pubblico, dotato di autonomia di bilancio</w:t>
      </w:r>
      <w:r w:rsidR="00F124D8">
        <w:t>,</w:t>
      </w:r>
      <w:r w:rsidRPr="00FC5B2D">
        <w:t xml:space="preserve"> con funzioni tecniche, amministrative e giuridiche</w:t>
      </w:r>
      <w:r>
        <w:t xml:space="preserve"> e con un vertice di nomina governativa, direttamente controllato dal Ministero delle Infrastrutture e dei Trasporti, garantirebbe economicità, efficienza, risparmio sia per la pubblica amministrazione che per gli utenti e</w:t>
      </w:r>
      <w:r w:rsidR="00F124D8">
        <w:t xml:space="preserve"> la</w:t>
      </w:r>
      <w:r>
        <w:t xml:space="preserve"> valorizzazione delle professionalità esistenti. </w:t>
      </w:r>
    </w:p>
    <w:p w:rsidR="004B1A09" w:rsidRDefault="004B1A09" w:rsidP="004B1A09">
      <w:pPr>
        <w:jc w:val="both"/>
      </w:pPr>
      <w:r>
        <w:t>In chiusura di riunione il Vice Ministro ha tenuto a ribadire che non c’</w:t>
      </w:r>
      <w:r w:rsidR="00F124D8">
        <w:t xml:space="preserve">è alcuna </w:t>
      </w:r>
      <w:r>
        <w:t>volontà di intervenire sulle ulteriori competenze proprie dell’Aci. In tale quadro ha espresso la disponibilità del Ministero a collaborare per coordinare con gli altri soggetti interessati (ad es. Regioni, Comuni e altre istituzioni pubbliche) soluzioni funzionali di ampio respiro.</w:t>
      </w:r>
    </w:p>
    <w:p w:rsidR="004B1A09" w:rsidRDefault="00665A48" w:rsidP="004B1A09">
      <w:pPr>
        <w:jc w:val="both"/>
      </w:pPr>
      <w:r>
        <w:t>Va da se che arrocchi</w:t>
      </w:r>
      <w:r w:rsidR="004B1A09">
        <w:t xml:space="preserve"> del Vertice dell’ACI non verranno consentiti in quanto è ferma volontà del Governo dare rapida attuazione alla norma, rispettandone lo spirito e la ratio.</w:t>
      </w:r>
    </w:p>
    <w:p w:rsidR="004B1A09" w:rsidRDefault="000E6335" w:rsidP="004B1A09">
      <w:pPr>
        <w:jc w:val="both"/>
      </w:pPr>
      <w:r>
        <w:t>Il confronto con le OO.SS continuerà dopo l’incontro tra Ministero e Vertice Aci già fissato per la prossima settimana.</w:t>
      </w:r>
    </w:p>
    <w:p w:rsidR="000E6335" w:rsidRDefault="000E6335" w:rsidP="004B1A09">
      <w:pPr>
        <w:jc w:val="both"/>
      </w:pPr>
      <w:r>
        <w:t>Vi terremo, tempestivamente informati.</w:t>
      </w:r>
    </w:p>
    <w:p w:rsidR="000E6335" w:rsidRDefault="000E6335" w:rsidP="004B1A09">
      <w:pPr>
        <w:jc w:val="both"/>
      </w:pPr>
      <w:r>
        <w:t>Cordiali saluti</w:t>
      </w:r>
    </w:p>
    <w:p w:rsidR="000E6335" w:rsidRDefault="000E6335" w:rsidP="004B1A09">
      <w:pPr>
        <w:jc w:val="both"/>
      </w:pPr>
    </w:p>
    <w:p w:rsidR="004B1A09" w:rsidRDefault="00A63FBE" w:rsidP="004B1A09">
      <w:pPr>
        <w:jc w:val="both"/>
      </w:pPr>
      <w:r>
        <w:t>Roma, 30 aprile 2014.</w:t>
      </w:r>
    </w:p>
    <w:p w:rsidR="004B1A09" w:rsidRDefault="004B1A09" w:rsidP="004B1A09">
      <w:pPr>
        <w:jc w:val="both"/>
      </w:pPr>
    </w:p>
    <w:p w:rsidR="004B1A09" w:rsidRDefault="00A63FBE" w:rsidP="00A63FBE">
      <w:pPr>
        <w:pStyle w:val="Nessunaspaziatura"/>
        <w:ind w:left="708" w:firstLine="708"/>
        <w:rPr>
          <w:rStyle w:val="Enfasidelicata"/>
          <w:i w:val="0"/>
        </w:rPr>
      </w:pPr>
      <w:r w:rsidRPr="00A63FBE">
        <w:rPr>
          <w:rStyle w:val="Enfasidelicata"/>
          <w:i w:val="0"/>
        </w:rPr>
        <w:t xml:space="preserve">UILPA </w:t>
      </w:r>
      <w:r w:rsidRPr="00A63FBE">
        <w:rPr>
          <w:rStyle w:val="Enfasidelicata"/>
          <w:i w:val="0"/>
        </w:rPr>
        <w:tab/>
      </w:r>
      <w:r w:rsidRPr="00A63FBE">
        <w:rPr>
          <w:rStyle w:val="Enfasidelicata"/>
          <w:i w:val="0"/>
        </w:rPr>
        <w:tab/>
      </w:r>
      <w:r w:rsidRPr="00A63FBE">
        <w:rPr>
          <w:rStyle w:val="Enfasidelicata"/>
          <w:i w:val="0"/>
        </w:rPr>
        <w:tab/>
      </w:r>
      <w:r w:rsidRPr="00A63FBE">
        <w:rPr>
          <w:rStyle w:val="Enfasidelicata"/>
          <w:i w:val="0"/>
        </w:rPr>
        <w:tab/>
        <w:t>UILPA ACI ACP</w:t>
      </w:r>
      <w:r w:rsidRPr="00A63FBE">
        <w:rPr>
          <w:rStyle w:val="Enfasidelicata"/>
          <w:i w:val="0"/>
        </w:rPr>
        <w:tab/>
      </w:r>
      <w:r w:rsidRPr="00A63FBE">
        <w:rPr>
          <w:rStyle w:val="Enfasidelicata"/>
          <w:i w:val="0"/>
        </w:rPr>
        <w:tab/>
      </w:r>
      <w:r w:rsidRPr="00A63FBE">
        <w:rPr>
          <w:rStyle w:val="Enfasidelicata"/>
          <w:i w:val="0"/>
        </w:rPr>
        <w:tab/>
        <w:t>UILPA MIT</w:t>
      </w:r>
    </w:p>
    <w:p w:rsidR="00A63FBE" w:rsidRPr="00A63FBE" w:rsidRDefault="00A63FBE" w:rsidP="00A63FBE">
      <w:pPr>
        <w:pStyle w:val="Nessunaspaziatura"/>
        <w:ind w:firstLine="708"/>
        <w:rPr>
          <w:rStyle w:val="Enfasidelicata"/>
          <w:i w:val="0"/>
        </w:rPr>
      </w:pPr>
      <w:r>
        <w:rPr>
          <w:rStyle w:val="Enfasidelicata"/>
          <w:i w:val="0"/>
        </w:rPr>
        <w:t xml:space="preserve">      Enrico M. Ponti</w:t>
      </w:r>
      <w:r>
        <w:rPr>
          <w:rStyle w:val="Enfasidelicata"/>
          <w:i w:val="0"/>
        </w:rPr>
        <w:tab/>
      </w:r>
      <w:r>
        <w:rPr>
          <w:rStyle w:val="Enfasidelicata"/>
          <w:i w:val="0"/>
        </w:rPr>
        <w:tab/>
        <w:t xml:space="preserve">              Sandra Pagani  </w:t>
      </w:r>
      <w:r>
        <w:rPr>
          <w:rStyle w:val="Enfasidelicata"/>
          <w:i w:val="0"/>
        </w:rPr>
        <w:tab/>
      </w:r>
      <w:r>
        <w:rPr>
          <w:rStyle w:val="Enfasidelicata"/>
          <w:i w:val="0"/>
        </w:rPr>
        <w:tab/>
        <w:t xml:space="preserve">        Vincenzo Lichinchi</w:t>
      </w:r>
    </w:p>
    <w:p w:rsidR="004B1A09" w:rsidRPr="00BA728A" w:rsidRDefault="004B1A09" w:rsidP="004B1A09">
      <w:pPr>
        <w:rPr>
          <w:rFonts w:ascii="Century Gothic" w:hAnsi="Century Gothic"/>
          <w:sz w:val="24"/>
          <w:szCs w:val="24"/>
        </w:rPr>
      </w:pPr>
    </w:p>
    <w:p w:rsidR="004B1A09" w:rsidRDefault="004B1A09" w:rsidP="004B1A09">
      <w:pPr>
        <w:pStyle w:val="Nessunaspaziatura"/>
        <w:rPr>
          <w:rStyle w:val="Enfasidelicata"/>
          <w:rFonts w:ascii="Century Gothic" w:hAnsi="Century Gothic"/>
          <w:i w:val="0"/>
        </w:rPr>
      </w:pPr>
      <w:r w:rsidRPr="00BA728A">
        <w:rPr>
          <w:rFonts w:ascii="Century Gothic" w:hAnsi="Century Gothic"/>
        </w:rPr>
        <w:tab/>
      </w:r>
      <w:r w:rsidRPr="00BA728A">
        <w:rPr>
          <w:rFonts w:ascii="Century Gothic" w:hAnsi="Century Gothic"/>
        </w:rPr>
        <w:tab/>
      </w:r>
      <w:r w:rsidRPr="00BA728A">
        <w:rPr>
          <w:rFonts w:ascii="Century Gothic" w:hAnsi="Century Gothic"/>
        </w:rPr>
        <w:tab/>
      </w:r>
      <w:r w:rsidRPr="00BA728A">
        <w:rPr>
          <w:rFonts w:ascii="Century Gothic" w:hAnsi="Century Gothic"/>
        </w:rPr>
        <w:tab/>
      </w:r>
      <w:r w:rsidRPr="00BA728A">
        <w:rPr>
          <w:rFonts w:ascii="Century Gothic" w:hAnsi="Century Gothic"/>
        </w:rPr>
        <w:tab/>
      </w:r>
      <w:r w:rsidRPr="00BA728A">
        <w:rPr>
          <w:rFonts w:ascii="Century Gothic" w:hAnsi="Century Gothic"/>
        </w:rPr>
        <w:tab/>
      </w:r>
      <w:r w:rsidRPr="00BA728A">
        <w:rPr>
          <w:rFonts w:ascii="Century Gothic" w:hAnsi="Century Gothic"/>
        </w:rPr>
        <w:tab/>
      </w:r>
      <w:r w:rsidR="00B55945">
        <w:rPr>
          <w:rStyle w:val="Enfasidelicata"/>
          <w:rFonts w:ascii="Century Gothic" w:hAnsi="Century Gothic"/>
          <w:i w:val="0"/>
        </w:rPr>
        <w:t xml:space="preserve"> </w:t>
      </w:r>
    </w:p>
    <w:p w:rsidR="004B1A09" w:rsidRDefault="004B1A09" w:rsidP="004B1A09">
      <w:pPr>
        <w:pStyle w:val="Nessunaspaziatura"/>
        <w:rPr>
          <w:rStyle w:val="Enfasidelicata"/>
          <w:rFonts w:ascii="Century Gothic" w:hAnsi="Century Gothic"/>
          <w:i w:val="0"/>
        </w:rPr>
      </w:pPr>
    </w:p>
    <w:p w:rsidR="004B1A09" w:rsidRDefault="004B1A09" w:rsidP="004B1A09">
      <w:pPr>
        <w:pStyle w:val="Nessunaspaziatura"/>
        <w:rPr>
          <w:rStyle w:val="Enfasidelicata"/>
          <w:rFonts w:ascii="Century Gothic" w:hAnsi="Century Gothic"/>
          <w:i w:val="0"/>
        </w:rPr>
      </w:pPr>
    </w:p>
    <w:p w:rsidR="004B1A09" w:rsidRDefault="004B1A09" w:rsidP="004B1A09">
      <w:pPr>
        <w:pStyle w:val="Nessunaspaziatura"/>
        <w:rPr>
          <w:rStyle w:val="Enfasidelicata"/>
          <w:rFonts w:ascii="Century Gothic" w:hAnsi="Century Gothic"/>
          <w:i w:val="0"/>
        </w:rPr>
      </w:pPr>
    </w:p>
    <w:p w:rsidR="004B1A09" w:rsidRDefault="004B1A09" w:rsidP="004B1A09">
      <w:pPr>
        <w:pStyle w:val="Nessunaspaziatura"/>
        <w:rPr>
          <w:rStyle w:val="Enfasidelicata"/>
          <w:rFonts w:ascii="Century Gothic" w:hAnsi="Century Gothic"/>
          <w:i w:val="0"/>
        </w:rPr>
      </w:pPr>
    </w:p>
    <w:p w:rsidR="004B1A09" w:rsidRDefault="004B1A09" w:rsidP="004B1A09">
      <w:pPr>
        <w:pStyle w:val="Nessunaspaziatura"/>
        <w:rPr>
          <w:rStyle w:val="Enfasidelicata"/>
          <w:rFonts w:ascii="Century Gothic" w:hAnsi="Century Gothic"/>
          <w:i w:val="0"/>
        </w:rPr>
      </w:pPr>
    </w:p>
    <w:p w:rsidR="004B1A09" w:rsidRDefault="004B1A09" w:rsidP="004B1A09">
      <w:pPr>
        <w:pStyle w:val="Nessunaspaziatura"/>
        <w:rPr>
          <w:rStyle w:val="Enfasidelicata"/>
          <w:rFonts w:ascii="Century Gothic" w:hAnsi="Century Gothic"/>
          <w:i w:val="0"/>
        </w:rPr>
      </w:pPr>
    </w:p>
    <w:p w:rsidR="004B1A09" w:rsidRDefault="004B1A09" w:rsidP="004B1A09">
      <w:pPr>
        <w:pStyle w:val="Nessunaspaziatura"/>
        <w:rPr>
          <w:rStyle w:val="Enfasidelicata"/>
          <w:rFonts w:ascii="Century Gothic" w:hAnsi="Century Gothic"/>
          <w:i w:val="0"/>
        </w:rPr>
      </w:pPr>
    </w:p>
    <w:p w:rsidR="004B1A09" w:rsidRDefault="004B1A09" w:rsidP="004B1A09">
      <w:pPr>
        <w:pStyle w:val="Nessunaspaziatura"/>
        <w:rPr>
          <w:rStyle w:val="Enfasidelicata"/>
          <w:rFonts w:ascii="Century Gothic" w:hAnsi="Century Gothic"/>
          <w:i w:val="0"/>
        </w:rPr>
      </w:pPr>
    </w:p>
    <w:p w:rsidR="004B1A09" w:rsidRDefault="004B1A09" w:rsidP="004B1A09">
      <w:pPr>
        <w:pStyle w:val="Nessunaspaziatura"/>
        <w:rPr>
          <w:rStyle w:val="Enfasidelicata"/>
          <w:rFonts w:ascii="Century Gothic" w:hAnsi="Century Gothic"/>
          <w:i w:val="0"/>
        </w:rPr>
      </w:pPr>
    </w:p>
    <w:p w:rsidR="004B1A09" w:rsidRDefault="004B1A09" w:rsidP="004B1A09">
      <w:pPr>
        <w:pStyle w:val="Nessunaspaziatura"/>
        <w:rPr>
          <w:rStyle w:val="Enfasidelicata"/>
          <w:rFonts w:ascii="Century Gothic" w:hAnsi="Century Gothic"/>
          <w:i w:val="0"/>
        </w:rPr>
      </w:pPr>
    </w:p>
    <w:p w:rsidR="004B1A09" w:rsidRDefault="004B1A09" w:rsidP="004B1A09">
      <w:pPr>
        <w:pStyle w:val="Nessunaspaziatura"/>
        <w:rPr>
          <w:rStyle w:val="Enfasidelicata"/>
          <w:rFonts w:ascii="Century Gothic" w:hAnsi="Century Gothic"/>
          <w:i w:val="0"/>
        </w:rPr>
      </w:pPr>
    </w:p>
    <w:p w:rsidR="004B1A09" w:rsidRDefault="004B1A09" w:rsidP="00C2129A">
      <w:pPr>
        <w:jc w:val="center"/>
      </w:pPr>
    </w:p>
    <w:sectPr w:rsidR="004B1A09" w:rsidSect="009428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2129A"/>
    <w:rsid w:val="000438EF"/>
    <w:rsid w:val="000E6335"/>
    <w:rsid w:val="00125CF2"/>
    <w:rsid w:val="002766F5"/>
    <w:rsid w:val="0030387B"/>
    <w:rsid w:val="00343DAC"/>
    <w:rsid w:val="00345D82"/>
    <w:rsid w:val="00433E8D"/>
    <w:rsid w:val="004B1A09"/>
    <w:rsid w:val="004F1EB4"/>
    <w:rsid w:val="004F5885"/>
    <w:rsid w:val="005739F4"/>
    <w:rsid w:val="005F3A04"/>
    <w:rsid w:val="00645E05"/>
    <w:rsid w:val="00665A48"/>
    <w:rsid w:val="007130C3"/>
    <w:rsid w:val="00726FAB"/>
    <w:rsid w:val="007E7A05"/>
    <w:rsid w:val="0084329E"/>
    <w:rsid w:val="00875C50"/>
    <w:rsid w:val="0094282D"/>
    <w:rsid w:val="009B6F9C"/>
    <w:rsid w:val="00A63FBE"/>
    <w:rsid w:val="00A76BB7"/>
    <w:rsid w:val="00B55945"/>
    <w:rsid w:val="00C2129A"/>
    <w:rsid w:val="00C548C5"/>
    <w:rsid w:val="00C81C9E"/>
    <w:rsid w:val="00C85118"/>
    <w:rsid w:val="00CB71F8"/>
    <w:rsid w:val="00D078C1"/>
    <w:rsid w:val="00D3665C"/>
    <w:rsid w:val="00E755DA"/>
    <w:rsid w:val="00F124D8"/>
    <w:rsid w:val="00F604BC"/>
    <w:rsid w:val="00F933A2"/>
    <w:rsid w:val="00FA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71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1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129A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3665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3665C"/>
    <w:rPr>
      <w:rFonts w:ascii="Consolas" w:hAnsi="Consolas"/>
      <w:sz w:val="21"/>
      <w:szCs w:val="21"/>
    </w:rPr>
  </w:style>
  <w:style w:type="character" w:styleId="Enfasidelicata">
    <w:name w:val="Subtle Emphasis"/>
    <w:basedOn w:val="Carpredefinitoparagrafo"/>
    <w:uiPriority w:val="19"/>
    <w:qFormat/>
    <w:rsid w:val="004B1A09"/>
    <w:rPr>
      <w:i/>
      <w:iCs/>
      <w:color w:val="808080"/>
    </w:rPr>
  </w:style>
  <w:style w:type="paragraph" w:styleId="Nessunaspaziatura">
    <w:name w:val="No Spacing"/>
    <w:uiPriority w:val="1"/>
    <w:qFormat/>
    <w:rsid w:val="004B1A0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1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1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61471-A4F4-4ED2-B6EB-1F7B8EF34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manrico</dc:creator>
  <cp:lastModifiedBy>rsu</cp:lastModifiedBy>
  <cp:revision>2</cp:revision>
  <cp:lastPrinted>2014-04-30T13:14:00Z</cp:lastPrinted>
  <dcterms:created xsi:type="dcterms:W3CDTF">2014-04-30T14:43:00Z</dcterms:created>
  <dcterms:modified xsi:type="dcterms:W3CDTF">2014-04-30T14:43:00Z</dcterms:modified>
</cp:coreProperties>
</file>